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D6" w:rsidRDefault="00E527D6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27D6" w:rsidRDefault="00E527D6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4259" w:rsidRPr="008926D6" w:rsidRDefault="00294259" w:rsidP="00294259">
      <w:pPr>
        <w:pStyle w:val="a5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926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«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КУТЕЙНИКОВСКОЕ</w:t>
      </w:r>
      <w:r w:rsidRPr="008926D6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27D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294259" w:rsidRDefault="00294259" w:rsidP="0029425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94259" w:rsidRDefault="00A26D15" w:rsidP="0029425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294259" w:rsidRDefault="00294259" w:rsidP="00294259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4259" w:rsidRPr="00A26D15" w:rsidRDefault="00A26D15" w:rsidP="00294259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«18» марта  2022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№ 27</w:t>
      </w:r>
      <w:bookmarkStart w:id="0" w:name="_GoBack"/>
      <w:bookmarkEnd w:id="0"/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сл. Кутейниково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Главы Администрации Кутейниковского сельского поселения об итогах работы Администрации Кутейниковского сельск</w:t>
      </w:r>
      <w:r w:rsidR="00E527D6">
        <w:rPr>
          <w:b/>
          <w:sz w:val="28"/>
          <w:szCs w:val="28"/>
        </w:rPr>
        <w:t>ого поселения за 2021</w:t>
      </w:r>
      <w:r>
        <w:rPr>
          <w:b/>
          <w:sz w:val="28"/>
          <w:szCs w:val="28"/>
        </w:rPr>
        <w:t xml:space="preserve"> год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«Кутейниковское сельское поселение», Собрание депутатов Кутейниковского сельского поселения.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Кутейниковского поселения об итогах работы Администрации Кутейниковс</w:t>
      </w:r>
      <w:r w:rsidR="00E527D6">
        <w:rPr>
          <w:sz w:val="28"/>
          <w:szCs w:val="28"/>
        </w:rPr>
        <w:t>кого сельского поселения за 2021</w:t>
      </w:r>
      <w:r>
        <w:rPr>
          <w:sz w:val="28"/>
          <w:szCs w:val="28"/>
        </w:rPr>
        <w:t xml:space="preserve"> год согласно приложения.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Кутейниковского сельского поселения (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kut</w:t>
        </w:r>
        <w:r w:rsidR="00826EA7">
          <w:rPr>
            <w:rStyle w:val="a4"/>
            <w:sz w:val="28"/>
            <w:szCs w:val="28"/>
            <w:lang w:val="en-US"/>
          </w:rPr>
          <w:t>einikovskoe</w:t>
        </w:r>
        <w:r>
          <w:rPr>
            <w:rStyle w:val="a4"/>
            <w:sz w:val="28"/>
            <w:szCs w:val="28"/>
            <w:lang w:val="en-US"/>
          </w:rPr>
          <w:t>sp</w:t>
        </w:r>
        <w:proofErr w:type="spellEnd"/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оставляю за собой.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294259" w:rsidRDefault="00294259" w:rsidP="00294259"/>
    <w:p w:rsidR="00294259" w:rsidRDefault="00294259" w:rsidP="00294259"/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– </w:t>
      </w:r>
    </w:p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94259" w:rsidRPr="008926D6" w:rsidSect="004543FA">
          <w:pgSz w:w="11906" w:h="16838"/>
          <w:pgMar w:top="284" w:right="850" w:bottom="1134" w:left="1701" w:header="708" w:footer="708" w:gutter="0"/>
          <w:pgNumType w:start="1"/>
          <w:cols w:space="720"/>
        </w:sectPr>
      </w:pP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Кутейниковскогосельского поселения                      </w:t>
      </w:r>
      <w:r w:rsidR="00E527D6">
        <w:rPr>
          <w:rFonts w:ascii="Times New Roman" w:hAnsi="Times New Roman" w:cs="Times New Roman"/>
          <w:color w:val="000000" w:themeColor="text1"/>
          <w:sz w:val="28"/>
          <w:szCs w:val="28"/>
        </w:rPr>
        <w:t>Дудниченко Т.И.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4259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231A">
        <w:rPr>
          <w:rFonts w:ascii="Times New Roman" w:hAnsi="Times New Roman" w:cs="Times New Roman"/>
          <w:sz w:val="28"/>
          <w:szCs w:val="28"/>
        </w:rPr>
        <w:t>27 от 18.03.2022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от</w:t>
      </w:r>
    </w:p>
    <w:p w:rsidR="00294259" w:rsidRDefault="00294259" w:rsidP="00294259">
      <w:pPr>
        <w:autoSpaceDE w:val="0"/>
        <w:autoSpaceDN w:val="0"/>
        <w:adjustRightInd w:val="0"/>
        <w:ind w:firstLine="709"/>
        <w:jc w:val="center"/>
        <w:rPr>
          <w:rFonts w:ascii="Arial" w:hAnsi="Arial" w:cs="Mangal"/>
          <w:color w:val="000000"/>
          <w:sz w:val="28"/>
          <w:szCs w:val="28"/>
        </w:rPr>
      </w:pP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ОТЧЕТ О РЕЗУЛЬТАТАХ ДЕЯТЕЛЬНОСТИ АДМИНИСТРАЦИИ КУТЕЙНИКОВСКОГО СЕЛЬСКОГО ПОСЕЛЕНИЯ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ЗА 2021 ГОД.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</w:p>
    <w:p w:rsidR="00E527D6" w:rsidRPr="00E56402" w:rsidRDefault="00E527D6" w:rsidP="00E527D6">
      <w:pPr>
        <w:pStyle w:val="21"/>
        <w:shd w:val="clear" w:color="auto" w:fill="FFFFFF"/>
        <w:jc w:val="both"/>
      </w:pPr>
      <w:r w:rsidRPr="00E56402">
        <w:t xml:space="preserve">      В соответствии с Федеральным законом № 131 от 06.10.2003 года «Об общих принципах организации местного самоуправления в Российской Федерации», Уставом муниципального образования «Кутейниковское сельское поселение»- Глава муниципального образования представляет отчет о своей работе и деятельности Администрации сельского поселения. Это не просто отчёт, а жизненная необходимость, поскольку этот анализ позволяет увидеть не только то, что уже сделали, но главное, что необходимо сделать.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  <w:r w:rsidRPr="00E56402">
        <w:t xml:space="preserve">      Подводя итоги года, постараюсь остановиться на основных делах и программах, над которыми работала администрация.</w:t>
      </w:r>
    </w:p>
    <w:p w:rsidR="00E527D6" w:rsidRPr="00E56402" w:rsidRDefault="00E527D6" w:rsidP="00E527D6">
      <w:pPr>
        <w:pStyle w:val="21"/>
        <w:shd w:val="clear" w:color="auto" w:fill="FFFFFF"/>
        <w:jc w:val="both"/>
        <w:rPr>
          <w:color w:val="616161"/>
        </w:rPr>
      </w:pP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 xml:space="preserve">ПРАВОВАЯ И ИНФОРМАЦИОННАЯ РАБОТА  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АДМИНИСТРАЦИИ СЕЛЬСКОГО ПОСЕЛЕНИЯ</w:t>
      </w:r>
    </w:p>
    <w:p w:rsidR="00E527D6" w:rsidRPr="00E56402" w:rsidRDefault="00E527D6" w:rsidP="00E527D6">
      <w:pPr>
        <w:pStyle w:val="21"/>
        <w:shd w:val="clear" w:color="auto" w:fill="FFFFFF"/>
        <w:jc w:val="center"/>
      </w:pPr>
    </w:p>
    <w:p w:rsidR="00E527D6" w:rsidRPr="00E56402" w:rsidRDefault="00E527D6" w:rsidP="00E527D6">
      <w:pPr>
        <w:pStyle w:val="21"/>
        <w:shd w:val="clear" w:color="auto" w:fill="FFFFFF"/>
        <w:ind w:firstLine="708"/>
        <w:jc w:val="both"/>
      </w:pPr>
      <w:r w:rsidRPr="00E56402">
        <w:t>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E527D6" w:rsidRPr="00E56402" w:rsidRDefault="00E527D6" w:rsidP="00E527D6">
      <w:pPr>
        <w:pStyle w:val="21"/>
        <w:shd w:val="clear" w:color="auto" w:fill="FFFFFF"/>
        <w:ind w:firstLine="708"/>
        <w:jc w:val="both"/>
      </w:pPr>
      <w:r w:rsidRPr="00E56402"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E527D6" w:rsidRPr="00E56402" w:rsidRDefault="00E527D6" w:rsidP="00E527D6">
      <w:pPr>
        <w:pStyle w:val="21"/>
        <w:shd w:val="clear" w:color="auto" w:fill="FFFFFF"/>
        <w:ind w:firstLine="708"/>
        <w:jc w:val="both"/>
      </w:pPr>
      <w:r w:rsidRPr="00E56402">
        <w:t>За 2021 год в Администрацию сельского поселения поступило 25 письменных обращений.</w:t>
      </w:r>
    </w:p>
    <w:p w:rsidR="00E527D6" w:rsidRPr="00E56402" w:rsidRDefault="00E527D6" w:rsidP="00E527D6">
      <w:pPr>
        <w:pStyle w:val="21"/>
        <w:shd w:val="clear" w:color="auto" w:fill="FFFFFF"/>
        <w:ind w:firstLine="708"/>
        <w:jc w:val="both"/>
      </w:pPr>
      <w:r w:rsidRPr="00E56402">
        <w:t>Анализ характера поступивших обращений показал, что в обращениях граждан поднимались вопросы жилищно-коммунального хозяйства, вопросы о проведении ремонта внутрипоселковых дорог, о внесении изменений в ПЗЗ.</w:t>
      </w:r>
    </w:p>
    <w:p w:rsidR="00E527D6" w:rsidRPr="00E56402" w:rsidRDefault="00E527D6" w:rsidP="00E527D6">
      <w:pPr>
        <w:pStyle w:val="21"/>
        <w:shd w:val="clear" w:color="auto" w:fill="FFFFFF"/>
        <w:ind w:firstLine="708"/>
        <w:jc w:val="both"/>
      </w:pPr>
      <w:r w:rsidRPr="00E56402"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Всего за год специалистами Администрации подготовлено </w:t>
      </w:r>
      <w:r w:rsidRPr="00E56402">
        <w:rPr>
          <w:rFonts w:ascii="Times New Roman" w:hAnsi="Times New Roman" w:cs="Times New Roman"/>
          <w:b/>
          <w:i/>
          <w:color w:val="000000"/>
          <w:sz w:val="24"/>
        </w:rPr>
        <w:t>804</w:t>
      </w:r>
      <w:r w:rsidRPr="00E56402">
        <w:rPr>
          <w:rFonts w:ascii="Times New Roman" w:hAnsi="Times New Roman" w:cs="Times New Roman"/>
          <w:sz w:val="24"/>
        </w:rPr>
        <w:t xml:space="preserve">различных отчетов, ответов на запросы, информаций, в том числе </w:t>
      </w:r>
      <w:r w:rsidRPr="00E56402">
        <w:rPr>
          <w:rFonts w:ascii="Times New Roman" w:hAnsi="Times New Roman" w:cs="Times New Roman"/>
          <w:b/>
          <w:i/>
          <w:sz w:val="24"/>
        </w:rPr>
        <w:t>25</w:t>
      </w:r>
      <w:r w:rsidRPr="00E56402">
        <w:rPr>
          <w:rFonts w:ascii="Times New Roman" w:hAnsi="Times New Roman" w:cs="Times New Roman"/>
          <w:sz w:val="24"/>
        </w:rPr>
        <w:t xml:space="preserve">ответов на акты прокурорского реагирования, </w:t>
      </w:r>
      <w:r w:rsidRPr="00E56402">
        <w:rPr>
          <w:rFonts w:ascii="Times New Roman" w:hAnsi="Times New Roman" w:cs="Times New Roman"/>
          <w:b/>
          <w:i/>
          <w:sz w:val="24"/>
        </w:rPr>
        <w:t>21</w:t>
      </w:r>
      <w:r w:rsidRPr="00E56402">
        <w:rPr>
          <w:rFonts w:ascii="Times New Roman" w:hAnsi="Times New Roman" w:cs="Times New Roman"/>
          <w:sz w:val="24"/>
        </w:rPr>
        <w:t>ответ в суды различных инстанций. Администрация приняла участие в</w:t>
      </w:r>
      <w:r w:rsidRPr="00E56402">
        <w:rPr>
          <w:rFonts w:ascii="Times New Roman" w:hAnsi="Times New Roman" w:cs="Times New Roman"/>
          <w:b/>
          <w:i/>
          <w:sz w:val="24"/>
        </w:rPr>
        <w:t>7</w:t>
      </w:r>
      <w:r w:rsidRPr="00E56402">
        <w:rPr>
          <w:rFonts w:ascii="Times New Roman" w:hAnsi="Times New Roman" w:cs="Times New Roman"/>
          <w:sz w:val="24"/>
        </w:rPr>
        <w:t xml:space="preserve">судебных заседаниях по гражданско-правовым вопросам.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Администрацией </w:t>
      </w:r>
      <w:r w:rsidRPr="00E56402">
        <w:rPr>
          <w:rFonts w:ascii="Times New Roman" w:hAnsi="Times New Roman" w:cs="Times New Roman"/>
          <w:sz w:val="24"/>
        </w:rPr>
        <w:t>за прошедший период было предоставлено муниципальных услуг (выдача различного вида справок, актов, выписок, постановлений) в количестве –</w:t>
      </w:r>
      <w:r w:rsidRPr="00E56402">
        <w:rPr>
          <w:rFonts w:ascii="Times New Roman" w:hAnsi="Times New Roman" w:cs="Times New Roman"/>
          <w:b/>
          <w:i/>
          <w:sz w:val="24"/>
        </w:rPr>
        <w:t>238.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Для опубликования нормативных правовых актов и размещения информации издаётся ежемесячное печатное издание - «Информационный бюллетень Кутейниковского сельског</w:t>
      </w:r>
      <w:r>
        <w:rPr>
          <w:rFonts w:ascii="Times New Roman" w:hAnsi="Times New Roman" w:cs="Times New Roman"/>
          <w:sz w:val="24"/>
        </w:rPr>
        <w:t>о поселения» тиражом 3 экземпляра</w:t>
      </w:r>
      <w:r w:rsidRPr="00E564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Всего за отчетный период издано </w:t>
      </w:r>
      <w:r w:rsidRPr="00741D22">
        <w:rPr>
          <w:rFonts w:ascii="Times New Roman" w:hAnsi="Times New Roman" w:cs="Times New Roman"/>
          <w:b/>
          <w:sz w:val="24"/>
        </w:rPr>
        <w:t>18</w:t>
      </w:r>
      <w:r w:rsidRPr="00E56402">
        <w:rPr>
          <w:rFonts w:ascii="Times New Roman" w:hAnsi="Times New Roman" w:cs="Times New Roman"/>
          <w:b/>
          <w:i/>
          <w:sz w:val="24"/>
        </w:rPr>
        <w:t xml:space="preserve">Информационных бюллетеней.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 отчётный период состоялось 15 </w:t>
      </w:r>
      <w:r w:rsidRPr="00741D22">
        <w:rPr>
          <w:rFonts w:ascii="Times New Roman" w:hAnsi="Times New Roman" w:cs="Times New Roman"/>
          <w:sz w:val="24"/>
        </w:rPr>
        <w:t>заседаний Собрания депутатов Кутейниковского сельского поселения, на которых было принято</w:t>
      </w:r>
      <w:r>
        <w:rPr>
          <w:rFonts w:ascii="Times New Roman" w:hAnsi="Times New Roman" w:cs="Times New Roman"/>
          <w:sz w:val="24"/>
        </w:rPr>
        <w:t xml:space="preserve"> 36 р</w:t>
      </w:r>
      <w:r w:rsidRPr="00741D22">
        <w:rPr>
          <w:rFonts w:ascii="Times New Roman" w:hAnsi="Times New Roman" w:cs="Times New Roman"/>
          <w:sz w:val="24"/>
        </w:rPr>
        <w:t>ешений, касающихся вопросов бюджета поселения и его исполнения, об утверждении положения о стратегическом планировании в Кутейниковском сельском положении.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Администрацией поселения за отчетный период принято </w:t>
      </w:r>
      <w:r w:rsidRPr="00E56402">
        <w:rPr>
          <w:rFonts w:ascii="Times New Roman" w:hAnsi="Times New Roman" w:cs="Times New Roman"/>
          <w:b/>
          <w:i/>
          <w:sz w:val="24"/>
        </w:rPr>
        <w:t>185</w:t>
      </w:r>
      <w:r w:rsidRPr="00E56402">
        <w:rPr>
          <w:rFonts w:ascii="Times New Roman" w:hAnsi="Times New Roman" w:cs="Times New Roman"/>
          <w:sz w:val="24"/>
        </w:rPr>
        <w:t xml:space="preserve">постановлений по различным видам деятельности.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Из общего количества принятых (изданных) решений и постановлений   </w:t>
      </w:r>
      <w:r w:rsidRPr="00E56402">
        <w:rPr>
          <w:rFonts w:ascii="Times New Roman" w:hAnsi="Times New Roman" w:cs="Times New Roman"/>
          <w:b/>
          <w:sz w:val="24"/>
        </w:rPr>
        <w:t>69</w:t>
      </w:r>
      <w:r w:rsidRPr="00E56402">
        <w:rPr>
          <w:rFonts w:ascii="Times New Roman" w:hAnsi="Times New Roman" w:cs="Times New Roman"/>
          <w:sz w:val="24"/>
        </w:rPr>
        <w:t xml:space="preserve">признаны </w:t>
      </w:r>
      <w:r w:rsidRPr="00E56402">
        <w:rPr>
          <w:rFonts w:ascii="Times New Roman" w:hAnsi="Times New Roman" w:cs="Times New Roman"/>
          <w:b/>
          <w:sz w:val="24"/>
        </w:rPr>
        <w:t>НПА</w:t>
      </w:r>
      <w:r w:rsidRPr="00E56402">
        <w:rPr>
          <w:rFonts w:ascii="Times New Roman" w:hAnsi="Times New Roman" w:cs="Times New Roman"/>
          <w:sz w:val="24"/>
        </w:rPr>
        <w:t xml:space="preserve"> (нормативно-правовыми актами).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 Прокуратурой Родионово – Несветайского района за текущий период вынесено </w:t>
      </w:r>
      <w:r w:rsidRPr="00741D22">
        <w:rPr>
          <w:rFonts w:ascii="Times New Roman" w:hAnsi="Times New Roman" w:cs="Times New Roman"/>
          <w:b/>
          <w:i/>
          <w:sz w:val="24"/>
        </w:rPr>
        <w:t>5</w:t>
      </w:r>
      <w:r w:rsidRPr="00741D22">
        <w:rPr>
          <w:rFonts w:ascii="Times New Roman" w:hAnsi="Times New Roman" w:cs="Times New Roman"/>
          <w:sz w:val="24"/>
        </w:rPr>
        <w:t>протестов и 15 представлений</w:t>
      </w:r>
      <w:r w:rsidRPr="00741D22">
        <w:rPr>
          <w:rFonts w:ascii="Times New Roman" w:hAnsi="Times New Roman" w:cs="Times New Roman"/>
          <w:b/>
          <w:i/>
          <w:sz w:val="24"/>
        </w:rPr>
        <w:t>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Протест и представления Прокурора Родионово-Несветайского района Ростовской области в соответствии со ст. 24 Федерального закона от 17.01.1992 N 2202-1 «О прокуратуре Российской Федерации» были рассмотрены в установленные сроки. По результатам рассмотрения приняты действенные меры по устранению отмеченных нарушений законодательства, а также причин и условий, им способствующих. К должностным лицам, допустившим указанные нарушения, применены меры дисциплинарной ответственности.</w:t>
      </w:r>
    </w:p>
    <w:p w:rsidR="00E527D6" w:rsidRDefault="00E527D6" w:rsidP="00E527D6">
      <w:pPr>
        <w:pStyle w:val="21"/>
        <w:shd w:val="clear" w:color="auto" w:fill="FFFFFF"/>
        <w:jc w:val="both"/>
      </w:pPr>
      <w:r w:rsidRPr="00E56402">
        <w:t xml:space="preserve">       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E527D6" w:rsidRPr="00E56402" w:rsidRDefault="00E527D6" w:rsidP="00E527D6">
      <w:pPr>
        <w:pStyle w:val="21"/>
        <w:shd w:val="clear" w:color="auto" w:fill="FFFFFF"/>
        <w:jc w:val="both"/>
        <w:rPr>
          <w:shd w:val="clear" w:color="auto" w:fill="FFFF00"/>
        </w:rPr>
      </w:pPr>
      <w:r>
        <w:t xml:space="preserve">        На воинском учете состоят 528 человек, в том числе: сержанты и солдаты – 476; офицеры – 11; призывники -62, в армии служат – 5.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  <w:r w:rsidRPr="00E56402">
        <w:t xml:space="preserve">      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450EA4">
        <w:rPr>
          <w:b/>
          <w:i/>
        </w:rPr>
        <w:t>ИСПОЛНЕНИЕ БЮДЖЕТА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</w:p>
    <w:p w:rsidR="00E527D6" w:rsidRPr="00450EA4" w:rsidRDefault="00E527D6" w:rsidP="00E527D6">
      <w:pPr>
        <w:pStyle w:val="a3"/>
        <w:shd w:val="clear" w:color="auto" w:fill="FFFFFF"/>
        <w:jc w:val="both"/>
      </w:pPr>
      <w:r w:rsidRPr="00450EA4">
        <w:t>Одной из главных задач исполнительной власти является своевременное и грамотное распоряжение средствами бюджета.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Прогноз собственных доходов бюджета поселения на 2021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    Прогноз </w:t>
      </w:r>
      <w:r w:rsidRPr="00450EA4">
        <w:rPr>
          <w:rFonts w:ascii="Times New Roman" w:eastAsia="Times New Roman" w:hAnsi="Times New Roman" w:cs="Times New Roman"/>
          <w:b/>
          <w:sz w:val="24"/>
        </w:rPr>
        <w:t>доходной части</w:t>
      </w:r>
      <w:r w:rsidRPr="00450EA4">
        <w:rPr>
          <w:rFonts w:ascii="Times New Roman" w:eastAsia="Times New Roman" w:hAnsi="Times New Roman" w:cs="Times New Roman"/>
          <w:sz w:val="24"/>
        </w:rPr>
        <w:t xml:space="preserve"> бюджета нашего муниципального образования в 2021 году составлял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 xml:space="preserve">9 618,6 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рублей. Поступило доходов за 2021 года 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18 891,5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b/>
          <w:sz w:val="24"/>
        </w:rPr>
        <w:t>Исполнение бюджета</w:t>
      </w:r>
      <w:r w:rsidRPr="00450EA4">
        <w:rPr>
          <w:rFonts w:ascii="Times New Roman" w:eastAsia="Times New Roman" w:hAnsi="Times New Roman" w:cs="Times New Roman"/>
          <w:sz w:val="24"/>
        </w:rPr>
        <w:t xml:space="preserve"> по доходной части составляет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196,4</w:t>
      </w:r>
      <w:r w:rsidRPr="00450EA4">
        <w:rPr>
          <w:rFonts w:ascii="Times New Roman" w:eastAsia="Times New Roman" w:hAnsi="Times New Roman" w:cs="Times New Roman"/>
          <w:sz w:val="24"/>
        </w:rPr>
        <w:t>%.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lastRenderedPageBreak/>
        <w:t>Основные источники доходной части бюджета по состоянию на 01.01.2022: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Единый сельскохозяйственный налог -   </w:t>
      </w:r>
      <w:r w:rsidRPr="00450EA4">
        <w:rPr>
          <w:rFonts w:ascii="Times New Roman" w:eastAsia="Times New Roman" w:hAnsi="Times New Roman" w:cs="Times New Roman"/>
          <w:b/>
          <w:color w:val="000000"/>
          <w:sz w:val="24"/>
        </w:rPr>
        <w:t>9 014,7</w:t>
      </w: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 тыс. руб. или 482,4 %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Земельный налог -                                      </w:t>
      </w:r>
      <w:r w:rsidRPr="00450EA4">
        <w:rPr>
          <w:rFonts w:ascii="Times New Roman" w:eastAsia="Times New Roman" w:hAnsi="Times New Roman" w:cs="Times New Roman"/>
          <w:b/>
          <w:sz w:val="24"/>
        </w:rPr>
        <w:t>4 366,8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112,9 %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Дотации на выравнивание бюджетной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EA4">
        <w:rPr>
          <w:rFonts w:ascii="Times New Roman" w:eastAsia="Times New Roman" w:hAnsi="Times New Roman" w:cs="Times New Roman"/>
          <w:color w:val="000000"/>
          <w:sz w:val="24"/>
        </w:rPr>
        <w:t>обеспеченности</w:t>
      </w:r>
      <w:r w:rsidRPr="00450EA4">
        <w:rPr>
          <w:rFonts w:ascii="Times New Roman" w:eastAsia="Times New Roman" w:hAnsi="Times New Roman" w:cs="Times New Roman"/>
          <w:sz w:val="24"/>
        </w:rPr>
        <w:t xml:space="preserve">                            -            </w:t>
      </w:r>
      <w:r w:rsidRPr="00450EA4">
        <w:rPr>
          <w:rFonts w:ascii="Times New Roman" w:eastAsia="Times New Roman" w:hAnsi="Times New Roman" w:cs="Times New Roman"/>
          <w:b/>
          <w:sz w:val="24"/>
        </w:rPr>
        <w:t>3 635,5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100 %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Налог на доходы физических лиц -          </w:t>
      </w:r>
      <w:r w:rsidRPr="00450EA4">
        <w:rPr>
          <w:rFonts w:ascii="Times New Roman" w:eastAsia="Times New Roman" w:hAnsi="Times New Roman" w:cs="Times New Roman"/>
          <w:b/>
          <w:sz w:val="24"/>
        </w:rPr>
        <w:t xml:space="preserve">988,1   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96,3 % от плана.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   В доходах бюджета поселения на 2021 год также учтены безвозмездные поступления из областного бюджета в сумме </w:t>
      </w:r>
      <w:r w:rsidRPr="00450EA4">
        <w:rPr>
          <w:rFonts w:ascii="Times New Roman" w:eastAsia="Times New Roman" w:hAnsi="Times New Roman" w:cs="Times New Roman"/>
          <w:b/>
          <w:sz w:val="24"/>
        </w:rPr>
        <w:t xml:space="preserve">336,7 </w:t>
      </w:r>
      <w:r w:rsidRPr="00450EA4">
        <w:rPr>
          <w:rFonts w:ascii="Times New Roman" w:eastAsia="Times New Roman" w:hAnsi="Times New Roman" w:cs="Times New Roman"/>
          <w:sz w:val="24"/>
        </w:rPr>
        <w:t xml:space="preserve">тыс. рублей на приобретение пожарного оборудования и </w:t>
      </w:r>
      <w:r w:rsidRPr="00450EA4">
        <w:rPr>
          <w:rFonts w:ascii="Times New Roman" w:eastAsia="Times New Roman" w:hAnsi="Times New Roman" w:cs="Times New Roman"/>
          <w:b/>
          <w:sz w:val="24"/>
        </w:rPr>
        <w:t>97,5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рублей на приобретение оргтехники и оборудование для МБУК «Кутейниковский СДК».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b/>
          <w:sz w:val="24"/>
        </w:rPr>
        <w:t xml:space="preserve">    Расходы бюджета</w:t>
      </w:r>
      <w:r w:rsidRPr="00450EA4">
        <w:rPr>
          <w:rFonts w:ascii="Times New Roman" w:eastAsia="Times New Roman" w:hAnsi="Times New Roman" w:cs="Times New Roman"/>
          <w:sz w:val="24"/>
        </w:rPr>
        <w:t xml:space="preserve"> за 2021 год  составили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11 290,9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рублей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>Основная часть расходов была направлена по следующим статьям: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>Оплата электроэнергии уличного освещения  -  </w:t>
      </w:r>
      <w:r w:rsidRPr="00450EA4">
        <w:rPr>
          <w:rFonts w:ascii="Times New Roman" w:eastAsia="Times New Roman" w:hAnsi="Times New Roman" w:cs="Times New Roman"/>
          <w:b/>
          <w:sz w:val="24"/>
        </w:rPr>
        <w:t>575,4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Замена ламп, светильников и текущее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содержание сетей уличного освещения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424,2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Содержание СДК                                                 - </w:t>
      </w:r>
      <w:r w:rsidRPr="00450EA4">
        <w:rPr>
          <w:rFonts w:ascii="Times New Roman" w:eastAsia="Times New Roman" w:hAnsi="Times New Roman" w:cs="Times New Roman"/>
          <w:b/>
          <w:sz w:val="24"/>
        </w:rPr>
        <w:t>3 238,4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>Благоустройство: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проведение  противоклещевой обработки        – </w:t>
      </w:r>
      <w:r w:rsidRPr="00450EA4">
        <w:rPr>
          <w:rFonts w:ascii="Times New Roman" w:eastAsia="Times New Roman" w:hAnsi="Times New Roman" w:cs="Times New Roman"/>
          <w:b/>
          <w:sz w:val="24"/>
        </w:rPr>
        <w:t>18,6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изготовление смет, инвентаризация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источников выбросов            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65,4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работы по благоустройство кладбища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 xml:space="preserve">в х. Гребцово (устройство площадки для </w:t>
      </w:r>
      <w:proofErr w:type="gramEnd"/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lastRenderedPageBreak/>
        <w:t xml:space="preserve">стоянки автомобилей  автокатафалков,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установка контейнерной площадки)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176,8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  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благоустройство территории кладбищ,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вывоз мусора и веток           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326,1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приобретение хозяйственных товаров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и строительных материалов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55,6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работы по устройству основания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под детскую площадку                                     </w:t>
      </w:r>
      <w:r w:rsidRPr="00450EA4">
        <w:rPr>
          <w:rFonts w:ascii="Times New Roman" w:eastAsia="Times New Roman" w:hAnsi="Times New Roman" w:cs="Times New Roman"/>
          <w:b/>
          <w:sz w:val="24"/>
        </w:rPr>
        <w:t>- 113,6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установка детской площадки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713,7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Проведение выборов депутатов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333,6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</w:p>
    <w:p w:rsidR="00E527D6" w:rsidRPr="00E56402" w:rsidRDefault="00E527D6" w:rsidP="00E527D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50EA4">
        <w:rPr>
          <w:rFonts w:ascii="Times New Roman" w:hAnsi="Times New Roman" w:cs="Times New Roman"/>
          <w:b/>
          <w:i/>
          <w:sz w:val="24"/>
        </w:rPr>
        <w:t>ЗАКУПКИ ДЛЯ МУНИЦИПАЛЬНЫХ НУЖД</w:t>
      </w:r>
      <w:proofErr w:type="gramStart"/>
      <w:r w:rsidRPr="00450EA4">
        <w:rPr>
          <w:rFonts w:ascii="Times New Roman" w:hAnsi="Times New Roman" w:cs="Times New Roman"/>
          <w:b/>
          <w:i/>
          <w:sz w:val="24"/>
        </w:rPr>
        <w:t xml:space="preserve"> .</w:t>
      </w:r>
      <w:proofErr w:type="gramEnd"/>
    </w:p>
    <w:p w:rsidR="00E527D6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2021</w:t>
      </w:r>
      <w:r w:rsidRPr="00E56402">
        <w:rPr>
          <w:rFonts w:ascii="Times New Roman" w:hAnsi="Times New Roman" w:cs="Times New Roman"/>
          <w:sz w:val="24"/>
        </w:rPr>
        <w:t xml:space="preserve"> года Администрацией Кутейниковского </w:t>
      </w:r>
      <w:r>
        <w:rPr>
          <w:rFonts w:ascii="Times New Roman" w:hAnsi="Times New Roman" w:cs="Times New Roman"/>
          <w:sz w:val="24"/>
        </w:rPr>
        <w:t>сельского поселения заключено 71 (семьдесят один) договор  и муниципальный контракт</w:t>
      </w:r>
      <w:r w:rsidRPr="00E56402">
        <w:rPr>
          <w:rFonts w:ascii="Times New Roman" w:hAnsi="Times New Roman" w:cs="Times New Roman"/>
          <w:sz w:val="24"/>
        </w:rPr>
        <w:t xml:space="preserve">. Из них запланированные средства направлены на: </w:t>
      </w:r>
    </w:p>
    <w:p w:rsidR="00E527D6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приобретение пожарного оборудования и снаряжения – 336,7</w:t>
      </w:r>
      <w:r w:rsidRPr="008D70B9">
        <w:rPr>
          <w:rFonts w:ascii="Times New Roman" w:hAnsi="Times New Roman" w:cs="Times New Roman"/>
          <w:sz w:val="24"/>
        </w:rPr>
        <w:t xml:space="preserve"> тыс. руб.; </w:t>
      </w:r>
    </w:p>
    <w:p w:rsidR="00E527D6" w:rsidRPr="008D70B9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поставка и установка детского игрового оборудования – 713,6 тыс. руб.;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8D70B9">
        <w:rPr>
          <w:rFonts w:ascii="Times New Roman" w:hAnsi="Times New Roman" w:cs="Times New Roman"/>
          <w:sz w:val="24"/>
        </w:rPr>
        <w:t xml:space="preserve">            -поставка нефтепродуктов – 165,0 тыс. руб;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текущий ремонт и содержание линий уличного освещения – 424,2</w:t>
      </w:r>
      <w:r w:rsidRPr="00E56402">
        <w:rPr>
          <w:rFonts w:ascii="Times New Roman" w:hAnsi="Times New Roman" w:cs="Times New Roman"/>
          <w:sz w:val="24"/>
        </w:rPr>
        <w:t xml:space="preserve"> тыс. руб.; 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- оказание услуг связанных с аккарицидной обработкой – 18,6 тыс. руб.;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   -поставка нефтепродуктов – 165,0 тыс. руб;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уличное освещение – 566,6</w:t>
      </w:r>
      <w:r w:rsidRPr="00E56402">
        <w:rPr>
          <w:rFonts w:ascii="Times New Roman" w:hAnsi="Times New Roman" w:cs="Times New Roman"/>
          <w:sz w:val="24"/>
        </w:rPr>
        <w:t>тыс.руб.;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коммунальные услуги – 153,</w:t>
      </w:r>
      <w:r w:rsidRPr="00E56402">
        <w:rPr>
          <w:rFonts w:ascii="Times New Roman" w:hAnsi="Times New Roman" w:cs="Times New Roman"/>
          <w:sz w:val="24"/>
        </w:rPr>
        <w:t>7тыс. руб.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lastRenderedPageBreak/>
        <w:t>Информация об осуществлении закупок, о планируемых закупках и об исполнении контрактов размещается в общедоступной Единой информационной системе в сфере закупок.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СОЦИАЛЬНАЯ И ЖИЛИЩНАЯ ПОЛИТИКА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                  На территории сельского поселения  численность  населения,  нуждающегося  в социальном обеспечении и защите, составляет </w:t>
      </w:r>
      <w:r>
        <w:rPr>
          <w:rFonts w:ascii="Times New Roman" w:hAnsi="Times New Roman" w:cs="Times New Roman"/>
          <w:sz w:val="24"/>
        </w:rPr>
        <w:t>129</w:t>
      </w:r>
      <w:r w:rsidRPr="00E56402">
        <w:rPr>
          <w:rFonts w:ascii="Times New Roman" w:hAnsi="Times New Roman" w:cs="Times New Roman"/>
          <w:sz w:val="24"/>
        </w:rPr>
        <w:t xml:space="preserve"> человек, в том числе: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 инвалиды  всех групп -  </w:t>
      </w:r>
      <w:r>
        <w:rPr>
          <w:rFonts w:ascii="Times New Roman" w:hAnsi="Times New Roman" w:cs="Times New Roman"/>
          <w:sz w:val="24"/>
        </w:rPr>
        <w:t>97</w:t>
      </w:r>
      <w:r w:rsidRPr="00E56402">
        <w:rPr>
          <w:rFonts w:ascii="Times New Roman" w:hAnsi="Times New Roman" w:cs="Times New Roman"/>
          <w:sz w:val="24"/>
        </w:rPr>
        <w:t xml:space="preserve"> человек;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дети-инвалиды  -  5 человека;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труженики тыла  </w:t>
      </w:r>
      <w:r w:rsidRPr="00E56402">
        <w:rPr>
          <w:rFonts w:ascii="Times New Roman" w:hAnsi="Times New Roman" w:cs="Times New Roman"/>
          <w:b/>
          <w:sz w:val="24"/>
        </w:rPr>
        <w:t>-</w:t>
      </w:r>
      <w:r w:rsidRPr="00E5640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Pr="00E56402">
        <w:rPr>
          <w:rFonts w:ascii="Times New Roman" w:hAnsi="Times New Roman" w:cs="Times New Roman"/>
          <w:sz w:val="24"/>
        </w:rPr>
        <w:t xml:space="preserve">  человек,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 вдовы участников ВОВ – 3 человек,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- и другие категории.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Сотрудниками Администрации сельского поселения были проведены рейды с целью обследования </w:t>
      </w:r>
      <w:proofErr w:type="gramStart"/>
      <w:r w:rsidRPr="00E56402">
        <w:rPr>
          <w:rFonts w:ascii="Times New Roman" w:hAnsi="Times New Roman" w:cs="Times New Roman"/>
          <w:sz w:val="24"/>
        </w:rPr>
        <w:t>жилищно - бытовых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условий семей, оказавшихся в экстремальной ситуации, и по результатам обследования составлены акты с заключениями  об оказании адресной помощи для  приобретения предметов и товаров первой необходимости (одежды и обуви для детей, продуктов питания). Все обратившиеся  получили социальное пособие по линии ОСЗН Родионово – Несветайского района.  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На территории сельского поселения  обслуживанием  граждан пожилого возраста и инвалидов занимаются сотрудники (социальные работники)  отделения  ОСО № 3  «ЦСО  ГПВ и ИРодионово – Несветайского района». Всего на обслуживании </w:t>
      </w:r>
      <w:r>
        <w:rPr>
          <w:rFonts w:ascii="Times New Roman" w:hAnsi="Times New Roman" w:cs="Times New Roman"/>
          <w:sz w:val="24"/>
        </w:rPr>
        <w:t>10</w:t>
      </w:r>
      <w:r w:rsidRPr="00E56402">
        <w:rPr>
          <w:rFonts w:ascii="Times New Roman" w:hAnsi="Times New Roman" w:cs="Times New Roman"/>
          <w:sz w:val="24"/>
        </w:rPr>
        <w:t xml:space="preserve"> социальных работников находятся  </w:t>
      </w:r>
      <w:r>
        <w:rPr>
          <w:rFonts w:ascii="Times New Roman" w:hAnsi="Times New Roman" w:cs="Times New Roman"/>
          <w:sz w:val="24"/>
        </w:rPr>
        <w:t>60</w:t>
      </w:r>
      <w:r w:rsidRPr="00E56402">
        <w:rPr>
          <w:rFonts w:ascii="Times New Roman" w:hAnsi="Times New Roman" w:cs="Times New Roman"/>
          <w:sz w:val="24"/>
        </w:rPr>
        <w:t xml:space="preserve">  граждан пожилого возраста (пенсионеров, инвалидов, одиноко проживающих).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E56402">
        <w:rPr>
          <w:rFonts w:ascii="Times New Roman" w:hAnsi="Times New Roman" w:cs="Times New Roman"/>
          <w:sz w:val="24"/>
        </w:rPr>
        <w:t>В жилищной комиссии сельского поселения  по состоянию на 01.</w:t>
      </w:r>
      <w:r>
        <w:rPr>
          <w:rFonts w:ascii="Times New Roman" w:hAnsi="Times New Roman" w:cs="Times New Roman"/>
          <w:sz w:val="24"/>
        </w:rPr>
        <w:t>01</w:t>
      </w:r>
      <w:r w:rsidRPr="00E56402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E56402">
        <w:rPr>
          <w:rFonts w:ascii="Times New Roman" w:hAnsi="Times New Roman" w:cs="Times New Roman"/>
          <w:sz w:val="24"/>
        </w:rPr>
        <w:t xml:space="preserve"> признаны нуждающимися в улучшении жилищных условий  и состоят на квартирном учете  - </w:t>
      </w:r>
      <w:r>
        <w:rPr>
          <w:rFonts w:ascii="Times New Roman" w:hAnsi="Times New Roman" w:cs="Times New Roman"/>
          <w:sz w:val="24"/>
        </w:rPr>
        <w:t>6</w:t>
      </w:r>
      <w:r w:rsidRPr="00E56402">
        <w:rPr>
          <w:rFonts w:ascii="Times New Roman" w:hAnsi="Times New Roman" w:cs="Times New Roman"/>
          <w:sz w:val="24"/>
        </w:rPr>
        <w:t xml:space="preserve"> семей.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 Все они включены  посписочно в различные целевые программы по поддержке семей в части обеспечения жильем или улучшения жилищных условий и  поставлены на очередь. 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По данным поквартирного учета на территории сельского поселения проживают 6 многодетных семей. </w:t>
      </w:r>
      <w:proofErr w:type="gramStart"/>
      <w:r w:rsidRPr="00E56402">
        <w:rPr>
          <w:rFonts w:ascii="Times New Roman" w:hAnsi="Times New Roman" w:cs="Times New Roman"/>
          <w:sz w:val="24"/>
        </w:rPr>
        <w:t>В связи со вступлением в силу в 2011 году  Федерального закона об обеспечении многодетных семей земельными участками, на территории 4 –х  населенных пунктов  -  сл. Кутейниково и х. Гребцово, х. Каменный Брод,  х. Октябрьский сформированы земельные участки из земель, свободных от застроек, для ведения ЛПХ, с правом   предоставления   в дальнейшем сформированных участков  многодетным семьям.</w:t>
      </w:r>
      <w:proofErr w:type="gramEnd"/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БЛАГОУСТРОЙСТВО    и    ЗЕМЛЕУСТРОЙСТВО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</w:p>
    <w:p w:rsidR="00E527D6" w:rsidRPr="00E56402" w:rsidRDefault="00E527D6" w:rsidP="00E527D6">
      <w:pPr>
        <w:pStyle w:val="21"/>
        <w:shd w:val="clear" w:color="auto" w:fill="FFFFFF"/>
        <w:ind w:firstLine="851"/>
        <w:jc w:val="both"/>
      </w:pPr>
      <w:proofErr w:type="gramStart"/>
      <w:r w:rsidRPr="00E56402">
        <w:t xml:space="preserve">Несмотря на сложившеюся ситуацию, связанной с вирусом </w:t>
      </w:r>
      <w:r w:rsidRPr="00E56402">
        <w:rPr>
          <w:lang w:val="en-US"/>
        </w:rPr>
        <w:t>COVID</w:t>
      </w:r>
      <w:r w:rsidRPr="00E56402">
        <w:t xml:space="preserve">-19 на территории Кутейниковского сельского поселения организациями и учреждениями были </w:t>
      </w:r>
      <w:r w:rsidRPr="00E56402">
        <w:lastRenderedPageBreak/>
        <w:t>проведены субботники по очистке территории и закрепленных участков сел и хуторов в количе</w:t>
      </w:r>
      <w:r>
        <w:t xml:space="preserve">стве 12 шт. Всего за год </w:t>
      </w:r>
      <w:r w:rsidRPr="00E56402">
        <w:t>высажено деревьев 40  шт., ликвидировано свалочных очагов 5 шт., собрано и вывезено 9 тонн мусора.</w:t>
      </w:r>
      <w:proofErr w:type="gramEnd"/>
      <w:r w:rsidRPr="00E56402">
        <w:t xml:space="preserve"> Проведено рейдов в части выявления и устранения нарушения законодательства в области охраны окружающей среды 26  шт.</w:t>
      </w:r>
    </w:p>
    <w:p w:rsidR="00E527D6" w:rsidRPr="00E56402" w:rsidRDefault="00E527D6" w:rsidP="00E527D6">
      <w:pPr>
        <w:pStyle w:val="21"/>
        <w:shd w:val="clear" w:color="auto" w:fill="FFFFFF"/>
        <w:jc w:val="both"/>
      </w:pPr>
      <w:r w:rsidRPr="00E56402">
        <w:t xml:space="preserve">        За истекший период администрацией неоднократно проводились выездные проверки комиссии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 Всего проведено </w:t>
      </w:r>
      <w:r w:rsidRPr="00E56402">
        <w:rPr>
          <w:b/>
          <w:i/>
        </w:rPr>
        <w:t xml:space="preserve">26 </w:t>
      </w:r>
      <w:r w:rsidRPr="00E56402">
        <w:t xml:space="preserve">проверок, вынесено </w:t>
      </w:r>
      <w:r w:rsidRPr="00E56402">
        <w:rPr>
          <w:b/>
          <w:i/>
        </w:rPr>
        <w:t>30</w:t>
      </w:r>
      <w:r w:rsidRPr="00E56402">
        <w:t>предупреждений., составлен 31 протокол.</w:t>
      </w:r>
    </w:p>
    <w:p w:rsidR="00E527D6" w:rsidRPr="00E56402" w:rsidRDefault="00E527D6" w:rsidP="00E527D6">
      <w:pPr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В ходе проведения плановых проверок  за отчетный период выявлены нарушения: </w:t>
      </w:r>
    </w:p>
    <w:p w:rsidR="00E527D6" w:rsidRPr="00E56402" w:rsidRDefault="00E527D6" w:rsidP="00E527D6">
      <w:pPr>
        <w:ind w:firstLine="72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56402">
        <w:rPr>
          <w:rFonts w:ascii="Times New Roman" w:hAnsi="Times New Roman" w:cs="Times New Roman"/>
          <w:color w:val="000000"/>
          <w:sz w:val="24"/>
          <w:u w:val="single"/>
        </w:rPr>
        <w:t>в отношении физических лиц:</w:t>
      </w:r>
    </w:p>
    <w:p w:rsidR="00E527D6" w:rsidRPr="00E56402" w:rsidRDefault="00E527D6" w:rsidP="00E527D6">
      <w:pPr>
        <w:ind w:firstLine="72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- </w:t>
      </w:r>
      <w:r w:rsidRPr="00E56402">
        <w:rPr>
          <w:rFonts w:ascii="Times New Roman" w:hAnsi="Times New Roman" w:cs="Times New Roman"/>
          <w:b/>
          <w:i/>
          <w:color w:val="000000"/>
          <w:sz w:val="24"/>
        </w:rPr>
        <w:t xml:space="preserve">31 </w:t>
      </w:r>
      <w:r w:rsidRPr="00E56402">
        <w:rPr>
          <w:rFonts w:ascii="Times New Roman" w:hAnsi="Times New Roman" w:cs="Times New Roman"/>
          <w:color w:val="000000"/>
          <w:sz w:val="24"/>
        </w:rPr>
        <w:t>нарушение</w:t>
      </w:r>
      <w:r w:rsidRPr="00E56402">
        <w:rPr>
          <w:rStyle w:val="A00"/>
          <w:rFonts w:ascii="Times New Roman" w:hAnsi="Times New Roman" w:cs="Times New Roman"/>
          <w:sz w:val="24"/>
          <w:szCs w:val="24"/>
        </w:rPr>
        <w:t xml:space="preserve"> по статье «Правила по содержанию и благоустройству территорий муниципального образования «Кутейниковское сельское поселение».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>В 2021 году продолжалась  работа: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 -  по актуализации заполнения сведений в похозяйственных  книгах;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      -  регистрация муниципального имущества.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E527D6" w:rsidRPr="00E56402" w:rsidRDefault="00E527D6" w:rsidP="00E527D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b/>
          <w:i/>
          <w:sz w:val="24"/>
        </w:rPr>
        <w:t>ГО и ЧС</w:t>
      </w:r>
    </w:p>
    <w:p w:rsidR="00E527D6" w:rsidRPr="00E56402" w:rsidRDefault="00E527D6" w:rsidP="00E527D6">
      <w:pPr>
        <w:pStyle w:val="21"/>
        <w:shd w:val="clear" w:color="auto" w:fill="FFFFFF"/>
        <w:jc w:val="both"/>
        <w:rPr>
          <w:i/>
        </w:rPr>
      </w:pPr>
    </w:p>
    <w:p w:rsidR="00E527D6" w:rsidRPr="00E56402" w:rsidRDefault="00E527D6" w:rsidP="00E527D6">
      <w:pPr>
        <w:pStyle w:val="21"/>
        <w:shd w:val="clear" w:color="auto" w:fill="FFFFFF"/>
        <w:jc w:val="both"/>
      </w:pPr>
      <w:r w:rsidRPr="00E56402">
        <w:t xml:space="preserve">         Противопожарная безопасность  и вопросы безопасности проживающего в сельском поселении населения  считаются основными и важными  направлениями  деятельности Администрации сельского поселения. 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Специалистами сельского поселения ведется активная работа по информированию населения о соблюдении правил пожарной безопасности в быту и запрете выжигания сухой растительности на личных подсобных хозяйствах. Путем подворного обхода распространены памятки и листовки в количестве </w:t>
      </w:r>
      <w:r w:rsidRPr="00E56402">
        <w:rPr>
          <w:rFonts w:ascii="Times New Roman" w:hAnsi="Times New Roman" w:cs="Times New Roman"/>
          <w:b/>
          <w:sz w:val="24"/>
        </w:rPr>
        <w:t>400</w:t>
      </w:r>
      <w:r w:rsidRPr="00E56402">
        <w:rPr>
          <w:rFonts w:ascii="Times New Roman" w:hAnsi="Times New Roman" w:cs="Times New Roman"/>
          <w:sz w:val="24"/>
        </w:rPr>
        <w:t xml:space="preserve"> штук. Регулярно обновляется  информация на сайте сельского поселения «о действиях в случае    возникновения чрезвычайных  ситуаций, связанных с природными пожарами».  Всем  владельцам, имеющим   земельные участки сельскохозяйственного назначения,  вручены письма, связанные с выполнением противопожарных мероприятий -  «о производстве   опашки  и очистке земельных участков от сухой травы и мусора».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>За 2021 год в сравнение с 2020 годом количество пожаров значительно сократилось, что является результатом активной профилактической работы специалистов сельского поселения, в области профилактики природных пожаров.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Силами    ЗАО «ВИТЯЗЬ -  М»   проведена      опашка        населенных   пунктов  - сл. Кутейниково, х. Гребцово, х. Кирбитово, х. Октябрьский -</w:t>
      </w:r>
      <w:r w:rsidRPr="00E56402">
        <w:rPr>
          <w:rFonts w:ascii="Times New Roman" w:hAnsi="Times New Roman" w:cs="Times New Roman"/>
          <w:b/>
          <w:sz w:val="24"/>
        </w:rPr>
        <w:t>14</w:t>
      </w:r>
      <w:r w:rsidRPr="00E56402">
        <w:rPr>
          <w:rFonts w:ascii="Times New Roman" w:hAnsi="Times New Roman" w:cs="Times New Roman"/>
          <w:sz w:val="24"/>
        </w:rPr>
        <w:t xml:space="preserve">  км. </w:t>
      </w:r>
    </w:p>
    <w:p w:rsidR="00E527D6" w:rsidRPr="00E56402" w:rsidRDefault="00E527D6" w:rsidP="00E527D6">
      <w:pPr>
        <w:pStyle w:val="21"/>
        <w:shd w:val="clear" w:color="auto" w:fill="FFFFFF"/>
        <w:jc w:val="both"/>
        <w:rPr>
          <w:b/>
          <w:i/>
        </w:rPr>
      </w:pPr>
    </w:p>
    <w:p w:rsidR="00E527D6" w:rsidRPr="00450EA4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450EA4">
        <w:rPr>
          <w:b/>
          <w:i/>
        </w:rPr>
        <w:t>ДЕЯТЕЛЬНОСТЬ ПРЕДПРИЯТИЙ, ХОЗЯЙСТВ НА ТЕРРИТОРИИ С</w:t>
      </w:r>
    </w:p>
    <w:p w:rsidR="00E527D6" w:rsidRPr="00E56402" w:rsidRDefault="00E527D6" w:rsidP="00E527D6">
      <w:pPr>
        <w:pStyle w:val="22"/>
        <w:jc w:val="both"/>
      </w:pPr>
      <w:r w:rsidRPr="00E56402">
        <w:lastRenderedPageBreak/>
        <w:t xml:space="preserve">       На территории сельского поселения осуществляют свою деятельность более 30 различных организаций, среди них зарегистрированы и осуществляют предпринимательскую деятельность </w:t>
      </w:r>
      <w:r>
        <w:t>51</w:t>
      </w:r>
      <w:r w:rsidRPr="00E56402">
        <w:t xml:space="preserve"> частных предпринимателей. </w:t>
      </w:r>
    </w:p>
    <w:p w:rsidR="00E527D6" w:rsidRPr="00E56402" w:rsidRDefault="00E527D6" w:rsidP="00E527D6">
      <w:pPr>
        <w:pStyle w:val="22"/>
        <w:jc w:val="both"/>
      </w:pPr>
      <w:r>
        <w:t>13</w:t>
      </w:r>
      <w:r w:rsidRPr="00E56402">
        <w:t xml:space="preserve">  магазинов обеспечивают население продуктами и промышленными товарами повседневного спроса. </w:t>
      </w:r>
    </w:p>
    <w:p w:rsidR="00E527D6" w:rsidRPr="00E56402" w:rsidRDefault="00E527D6" w:rsidP="00E527D6">
      <w:pPr>
        <w:pStyle w:val="22"/>
        <w:jc w:val="both"/>
      </w:pPr>
      <w:r w:rsidRPr="00E56402">
        <w:t xml:space="preserve">    В отделениях связи работает</w:t>
      </w:r>
      <w:proofErr w:type="gramStart"/>
      <w:r w:rsidRPr="00E56402">
        <w:t>6</w:t>
      </w:r>
      <w:proofErr w:type="gramEnd"/>
      <w:r w:rsidRPr="00E56402">
        <w:t xml:space="preserve"> человек, обеспечивающих доставку пенсий, сбор платежей за коммунальные услуги и дост</w:t>
      </w:r>
      <w:r>
        <w:t>авку  жителям корреспонденции</w:t>
      </w:r>
      <w:r w:rsidRPr="00E56402">
        <w:t xml:space="preserve">. </w:t>
      </w:r>
    </w:p>
    <w:p w:rsidR="00E527D6" w:rsidRPr="00E56402" w:rsidRDefault="00E527D6" w:rsidP="00E527D6">
      <w:pPr>
        <w:pStyle w:val="21"/>
        <w:shd w:val="clear" w:color="auto" w:fill="FFFFFF"/>
        <w:jc w:val="both"/>
        <w:rPr>
          <w:b/>
          <w:i/>
        </w:rPr>
      </w:pP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  <w:r w:rsidRPr="004B11EC">
        <w:rPr>
          <w:b/>
          <w:i/>
        </w:rPr>
        <w:t>ДЕЯТЕЛЬНОСТЬ УЧРЕЖДЕНИЙ КУЛЬТУРЫ</w:t>
      </w:r>
    </w:p>
    <w:p w:rsidR="00E527D6" w:rsidRPr="00E56402" w:rsidRDefault="00E527D6" w:rsidP="00E527D6">
      <w:pPr>
        <w:pStyle w:val="21"/>
        <w:shd w:val="clear" w:color="auto" w:fill="FFFFFF"/>
        <w:jc w:val="center"/>
        <w:rPr>
          <w:b/>
          <w:i/>
        </w:rPr>
      </w:pP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На территории Кутейниковского сельского поселения находится сельский Дом Культуры и его филиалы в хуторах Гребцово и Каменный Брод.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В Муниципальном задании на 2021 год для МБУК Кутейниковский СДК поставлена задача провести 383 культурно-массовых мероприятий. За 2021 года проведено 383 мероприятия. Со сложившейся эпидемиологической обстановкой в районе (COVID-19), МБУК Кутейниковский СДК с 28 марта 2020 года, приостановил свою работу для посещений и перешёл в режим офлайн мероприятий. Для организации досуга в 2021 г. работниками культуры было проведено культурно-массовых мероприятий (в офлайн режиме) - 383. Кутейниковский СДК- 192 мероприятия. Гребцовский СК -113 мероприятий. Каменно-Бродский СК - 137 мероприятий.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Год в культуре начался с Рождественских праздников, патриотических митингов и панихид. Проводилось множество офлайн бесед с подростками и молодежью о пропаганде здорового образа жизни, позитивного отношения к правилам безопасности дорожного движения и пожарной безопасности, показ презентаций и т.д, праздничные концерты.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Не смотря на временное приостановление работы в связи с коронавирусной инфекцией открытие детской </w:t>
      </w:r>
      <w:proofErr w:type="gram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площадки</w:t>
      </w:r>
      <w:proofErr w:type="gram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прошло в оф-лайн режиме с праздника детства «День защиты детей». На протяжении всех летних каникул для детей нашего поселения проводились мероприятия в офн-лайн режиме. Было проведено множество оф-лайн акций, оф-лайн конкурсов и т.д. Все работы размещены в социальных сетях (Инстаграмм, ВКонтакте и Ютуб).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В мае отмечался день Победы в Великой Отечественной войне. Традиционно в сельском поселении прошел цикл мероприятий приуроченных к Великой Победе советского народа над фашистскими захватчиками в оф-лайн режиме. В населенных пунктах – сл. Кутейниково, х .Каменный Брод, х. Гребцово, х. Кирбитово, х. Октябрьский прошли траурные шествия по погибшим солдатам, возложение венков с соблюдением всех мер по профилактике распространения новой коронавирусной инфекции (COVID-19), приведенных в приложении № 5 к постановлению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(COVID-19)». . На территории сельских клубов звучала патриотическая музыка.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lastRenderedPageBreak/>
        <w:t>12 июня – Кутейниковский СДК снял видео концерт посвященный Дню России. 22 июня – в Кутейниковском поселении прошла акция «Минута Памяти».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В конце 2021 года в нашем поселении для детей были организованы Новогодние утренники с Дедом Морозом и Снегурочкой, конкурсами и сладкими подарками.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За истекший период, работники культуры и граждане Кутейниковского поселения приняли участие в областных и районных мероприятиях в онлайн/оф-лайн режиме</w:t>
      </w:r>
    </w:p>
    <w:p w:rsidR="00E527D6" w:rsidRPr="00E56402" w:rsidRDefault="00E527D6" w:rsidP="00E527D6">
      <w:pPr>
        <w:pStyle w:val="22"/>
        <w:jc w:val="both"/>
      </w:pPr>
    </w:p>
    <w:p w:rsidR="00E527D6" w:rsidRPr="00E56402" w:rsidRDefault="00E527D6" w:rsidP="00E527D6">
      <w:pPr>
        <w:pStyle w:val="22"/>
        <w:rPr>
          <w:color w:val="000000"/>
        </w:rPr>
      </w:pPr>
      <w:r w:rsidRPr="00E56402">
        <w:rPr>
          <w:color w:val="000000"/>
        </w:rPr>
        <w:t>В заключении мне хотелось выразить благодарность</w:t>
      </w:r>
      <w:r>
        <w:rPr>
          <w:color w:val="000000"/>
        </w:rPr>
        <w:t xml:space="preserve"> неравнодушным людям нашего поселения</w:t>
      </w:r>
      <w:r w:rsidRPr="00E56402">
        <w:rPr>
          <w:color w:val="000000"/>
        </w:rPr>
        <w:t xml:space="preserve"> за плодотворную работу, за совместные конструктивные решения общих проблем и выразить уверенность, что и в дальнейшем мы вместе с ВАМИ продолжим эффективную работу и добьёмся высоких результатов.</w:t>
      </w:r>
    </w:p>
    <w:p w:rsidR="00E527D6" w:rsidRPr="00E56402" w:rsidRDefault="00E527D6" w:rsidP="00E527D6">
      <w:pPr>
        <w:pStyle w:val="21"/>
        <w:shd w:val="clear" w:color="auto" w:fill="FFFFFF"/>
        <w:rPr>
          <w:color w:val="000000"/>
        </w:rPr>
      </w:pPr>
      <w:r w:rsidRPr="00E56402">
        <w:rPr>
          <w:color w:val="000000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E527D6" w:rsidRDefault="00E527D6" w:rsidP="00E527D6">
      <w:pPr>
        <w:pStyle w:val="21"/>
        <w:shd w:val="clear" w:color="auto" w:fill="FFFFFF"/>
        <w:rPr>
          <w:color w:val="000000"/>
        </w:rPr>
      </w:pPr>
      <w:r w:rsidRPr="00E56402">
        <w:rPr>
          <w:color w:val="000000"/>
        </w:rPr>
        <w:t>СПАСИБО ЗА ВНИМАНИЕ!</w:t>
      </w:r>
    </w:p>
    <w:p w:rsidR="00E527D6" w:rsidRPr="001A2801" w:rsidRDefault="00E527D6" w:rsidP="00E527D6">
      <w:pPr>
        <w:pStyle w:val="21"/>
        <w:shd w:val="clear" w:color="auto" w:fill="FFFFFF"/>
        <w:rPr>
          <w:color w:val="000000"/>
          <w:lang w:val="en-US"/>
        </w:rPr>
      </w:pPr>
    </w:p>
    <w:p w:rsidR="00D138D0" w:rsidRDefault="00D138D0"/>
    <w:sectPr w:rsidR="00D138D0" w:rsidSect="0093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60"/>
    <w:rsid w:val="00294259"/>
    <w:rsid w:val="0080231A"/>
    <w:rsid w:val="00826EA7"/>
    <w:rsid w:val="009308D9"/>
    <w:rsid w:val="00A26D15"/>
    <w:rsid w:val="00D138D0"/>
    <w:rsid w:val="00E527D6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2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294259"/>
    <w:rPr>
      <w:color w:val="000000"/>
      <w:sz w:val="32"/>
      <w:szCs w:val="32"/>
    </w:rPr>
  </w:style>
  <w:style w:type="paragraph" w:customStyle="1" w:styleId="1">
    <w:name w:val="Обычный (веб)1"/>
    <w:basedOn w:val="a"/>
    <w:rsid w:val="0029425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2942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4">
    <w:name w:val="Hyperlink"/>
    <w:semiHidden/>
    <w:unhideWhenUsed/>
    <w:rsid w:val="00294259"/>
    <w:rPr>
      <w:color w:val="0000FF"/>
      <w:u w:val="single"/>
    </w:rPr>
  </w:style>
  <w:style w:type="paragraph" w:customStyle="1" w:styleId="ConsTitle">
    <w:name w:val="ConsTitle"/>
    <w:uiPriority w:val="99"/>
    <w:rsid w:val="002942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4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942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1">
    <w:name w:val="Обычный (веб)2"/>
    <w:basedOn w:val="a"/>
    <w:rsid w:val="00E527D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2">
    <w:name w:val="Без интервала2"/>
    <w:rsid w:val="00E527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tsp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2567</Words>
  <Characters>14637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2021-03-04T05:15:00Z</dcterms:created>
  <dcterms:modified xsi:type="dcterms:W3CDTF">2022-03-24T09:25:00Z</dcterms:modified>
</cp:coreProperties>
</file>