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51" w:rsidRDefault="00DF7051" w:rsidP="00DF7051">
      <w:pPr>
        <w:ind w:firstLine="540"/>
        <w:jc w:val="right"/>
      </w:pPr>
      <w:r>
        <w:t>ПРОЕКТ</w:t>
      </w:r>
    </w:p>
    <w:p w:rsidR="00E2311A" w:rsidRPr="002557B6" w:rsidRDefault="00E2311A" w:rsidP="00DF7051">
      <w:pPr>
        <w:ind w:firstLine="540"/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Pr="00A43179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43179">
        <w:rPr>
          <w:rFonts w:ascii="Times New Roman" w:hAnsi="Times New Roman" w:cs="Times New Roman"/>
          <w:sz w:val="24"/>
          <w:szCs w:val="24"/>
        </w:rPr>
        <w:t>20</w:t>
      </w:r>
      <w:r w:rsidR="00E67B49" w:rsidRPr="00A43179">
        <w:rPr>
          <w:rFonts w:ascii="Times New Roman" w:hAnsi="Times New Roman" w:cs="Times New Roman"/>
          <w:sz w:val="24"/>
          <w:szCs w:val="24"/>
        </w:rPr>
        <w:t>2</w:t>
      </w:r>
      <w:r w:rsidR="001A1723" w:rsidRPr="00A43179">
        <w:rPr>
          <w:rFonts w:ascii="Times New Roman" w:hAnsi="Times New Roman" w:cs="Times New Roman"/>
          <w:sz w:val="24"/>
          <w:szCs w:val="24"/>
        </w:rPr>
        <w:t>5</w:t>
      </w:r>
      <w:r w:rsidRPr="00A43179">
        <w:rPr>
          <w:rFonts w:ascii="Times New Roman" w:hAnsi="Times New Roman" w:cs="Times New Roman"/>
          <w:sz w:val="24"/>
          <w:szCs w:val="24"/>
        </w:rPr>
        <w:t xml:space="preserve"> год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326F9D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  </w:t>
      </w:r>
      <w:r w:rsidR="001A1723" w:rsidRPr="00A431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  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Pr="00A431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6F68" w:rsidRPr="00A431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3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39D" w:rsidRPr="00A43179">
        <w:rPr>
          <w:rFonts w:ascii="Times New Roman" w:hAnsi="Times New Roman" w:cs="Times New Roman"/>
          <w:sz w:val="24"/>
          <w:szCs w:val="24"/>
        </w:rPr>
        <w:t xml:space="preserve">      </w:t>
      </w:r>
      <w:r w:rsidRPr="00A43179">
        <w:rPr>
          <w:rFonts w:ascii="Times New Roman" w:hAnsi="Times New Roman" w:cs="Times New Roman"/>
          <w:sz w:val="24"/>
          <w:szCs w:val="24"/>
        </w:rPr>
        <w:t xml:space="preserve"> сл. </w:t>
      </w:r>
      <w:r w:rsidR="00E2311A" w:rsidRPr="00A43179">
        <w:rPr>
          <w:rFonts w:ascii="Times New Roman" w:hAnsi="Times New Roman" w:cs="Times New Roman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 xml:space="preserve">1) прогнозируемый общий объем доходов бюджета поселения в сумме </w:t>
      </w:r>
      <w:r w:rsidR="00487087">
        <w:t>14 234,3</w:t>
      </w:r>
      <w:r w:rsidR="001A1723" w:rsidRPr="001A1723">
        <w:t xml:space="preserve">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487087">
        <w:t>23 158,3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487087">
        <w:t>8 924,0</w:t>
      </w:r>
      <w:r w:rsidRPr="001A1723">
        <w:t xml:space="preserve"> тыс. рублей.</w:t>
      </w:r>
    </w:p>
    <w:p w:rsidR="00296B1F" w:rsidRPr="001A1723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  <w:sectPr w:rsidR="00296B1F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  <w:r w:rsidRPr="00C50DB1">
              <w:t>Приложение 1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к решению Собрания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депутатов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«О бюджете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7E3817" w:rsidRPr="00C50DB1" w:rsidRDefault="007E3817" w:rsidP="00487087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7E3817" w:rsidRPr="00C50DB1" w:rsidRDefault="007E3817" w:rsidP="00487087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7E3817" w:rsidRPr="00C50DB1" w:rsidTr="00487087">
        <w:trPr>
          <w:trHeight w:val="165"/>
        </w:trPr>
        <w:tc>
          <w:tcPr>
            <w:tcW w:w="3024" w:type="dxa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7E3817" w:rsidRDefault="007E3817" w:rsidP="007E3817"/>
    <w:p w:rsidR="007E3817" w:rsidRPr="00666062" w:rsidRDefault="007E3817" w:rsidP="007E3817">
      <w:r>
        <w:t>2)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7E3817" w:rsidRPr="007F6265" w:rsidTr="00487087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10 380,1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10 508,4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10 441,6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10 444,8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984E35">
              <w:rPr>
                <w:sz w:val="24"/>
                <w:szCs w:val="24"/>
              </w:rPr>
              <w:lastRenderedPageBreak/>
              <w:t xml:space="preserve">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7E3817" w:rsidRPr="007F6265" w:rsidTr="00487087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63,6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color w:val="000000"/>
              </w:rPr>
            </w:pPr>
            <w:r w:rsidRPr="00BB698E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color w:val="000000"/>
              </w:rPr>
            </w:pPr>
            <w:r w:rsidRPr="00BB698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FA272D" w:rsidRDefault="007E3817" w:rsidP="00487087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FA272D" w:rsidRDefault="007E3817" w:rsidP="00487087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D7046" w:rsidRDefault="007E3817" w:rsidP="00487087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D7046" w:rsidRDefault="007E3817" w:rsidP="00487087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CE38A3" w:rsidRDefault="007E3817" w:rsidP="00487087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E38A3" w:rsidRDefault="007E3817" w:rsidP="00487087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5B4A77" w:rsidRDefault="007E3817" w:rsidP="00487087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E3817" w:rsidTr="00487087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14 234,3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10 972,5</w:t>
            </w:r>
          </w:p>
        </w:tc>
      </w:tr>
    </w:tbl>
    <w:p w:rsidR="007E3817" w:rsidRPr="00666062" w:rsidRDefault="007E3817" w:rsidP="007E3817">
      <w:pPr>
        <w:tabs>
          <w:tab w:val="left" w:pos="12195"/>
        </w:tabs>
      </w:pPr>
    </w:p>
    <w:p w:rsidR="007E3817" w:rsidRDefault="007E3817" w:rsidP="00666062"/>
    <w:p w:rsidR="00666062" w:rsidRDefault="007E3817" w:rsidP="00666062">
      <w:r>
        <w:t>3</w:t>
      </w:r>
      <w:r w:rsidR="00666062">
        <w:t>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487087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 xml:space="preserve">- 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7E3817" w:rsidP="00666062">
      <w:r>
        <w:t>4</w:t>
      </w:r>
      <w:r w:rsidR="00D84D03">
        <w:t>) при</w:t>
      </w:r>
      <w:r w:rsidR="006A3205"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4870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243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243AA">
              <w:rPr>
                <w:b/>
                <w:color w:val="000000"/>
              </w:rPr>
              <w:t>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</w:t>
            </w:r>
            <w:r w:rsidRPr="000E00C0">
              <w:rPr>
                <w:bCs/>
                <w:snapToGrid w:val="0"/>
                <w:szCs w:val="28"/>
              </w:rPr>
              <w:lastRenderedPageBreak/>
              <w:t>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73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3D667F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1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487087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Pr="005775C5" w:rsidRDefault="00487087" w:rsidP="00E94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E243AA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43AA" w:rsidRPr="005775C5" w:rsidTr="00E243AA">
        <w:trPr>
          <w:trHeight w:val="7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 w:rsidR="00E243AA">
              <w:rPr>
                <w:color w:val="000000"/>
                <w:szCs w:val="28"/>
              </w:rPr>
              <w:t xml:space="preserve"> </w:t>
            </w:r>
            <w:r w:rsidR="00E243AA" w:rsidRPr="00801FFD">
              <w:rPr>
                <w:color w:val="000000"/>
              </w:rPr>
              <w:t>(</w:t>
            </w:r>
            <w:r w:rsidR="00E243AA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7E3817" w:rsidP="00F166FB">
      <w:r>
        <w:t>5</w:t>
      </w:r>
      <w:r w:rsidR="00F166FB">
        <w:t>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E94E6D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lastRenderedPageBreak/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7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3D667F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lastRenderedPageBreak/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87087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D51E68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A3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D51E68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7E3817" w:rsidP="004C0266">
      <w:r>
        <w:t>6</w:t>
      </w:r>
      <w:r w:rsidR="004C0266">
        <w:t>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lastRenderedPageBreak/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734" w:type="dxa"/>
        <w:tblInd w:w="675" w:type="dxa"/>
        <w:tblLook w:val="0000"/>
      </w:tblPr>
      <w:tblGrid>
        <w:gridCol w:w="7010"/>
        <w:gridCol w:w="1779"/>
        <w:gridCol w:w="1017"/>
        <w:gridCol w:w="516"/>
        <w:gridCol w:w="550"/>
        <w:gridCol w:w="1340"/>
        <w:gridCol w:w="1275"/>
        <w:gridCol w:w="1247"/>
      </w:tblGrid>
      <w:tr w:rsidR="004C0266" w:rsidRPr="0050054A" w:rsidTr="00A312AD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A312AD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A312AD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A312AD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A312AD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A312AD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A312AD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A312AD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A312AD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A312AD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617,1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A312AD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A312AD" w:rsidRPr="0050054A" w:rsidTr="00A312AD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3D667F" w:rsidRDefault="00A312AD" w:rsidP="00EF010C">
            <w:pPr>
              <w:rPr>
                <w:szCs w:val="28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6F575F" w:rsidRDefault="00A312AD" w:rsidP="00EF010C">
            <w:pPr>
              <w:rPr>
                <w:bCs/>
              </w:rPr>
            </w:pPr>
            <w:r>
              <w:rPr>
                <w:bCs/>
              </w:rPr>
              <w:t>04 4 01 99990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597,1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F575F" w:rsidRDefault="004C0266" w:rsidP="00EF010C">
            <w:pPr>
              <w:rPr>
                <w:bCs/>
              </w:rPr>
            </w:pPr>
            <w:r w:rsidRPr="006F575F">
              <w:rPr>
                <w:bCs/>
              </w:rPr>
              <w:t>04 4 0</w:t>
            </w:r>
            <w:r>
              <w:rPr>
                <w:bCs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7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A312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A312AD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A312AD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A312AD" w:rsidRPr="0050054A" w:rsidTr="00A312AD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9A3361" w:rsidRDefault="006A4E60" w:rsidP="00EF010C">
            <w:pPr>
              <w:rPr>
                <w:b/>
                <w:bCs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="00A312AD" w:rsidRPr="00801FFD">
              <w:rPr>
                <w:color w:val="000000"/>
              </w:rPr>
              <w:t>(</w:t>
            </w:r>
            <w:r w:rsidR="00A312AD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rPr>
                <w:bCs/>
              </w:rPr>
            </w:pPr>
            <w:r>
              <w:rPr>
                <w:bCs/>
              </w:rPr>
              <w:t>05 4 01 К0580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87087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A312AD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A312AD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A312AD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A312AD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F50D6B" w:rsidP="00EF010C">
            <w:pPr>
              <w:jc w:val="right"/>
            </w:pPr>
            <w: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A312AD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A312AD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A312AD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lastRenderedPageBreak/>
              <w:t>Условно утвержденные расходы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A312AD" w:rsidP="00EF010C">
            <w:pPr>
              <w:jc w:val="right"/>
            </w:pPr>
            <w:r>
              <w:t>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C4" w:rsidRDefault="00CF07C4">
      <w:r>
        <w:separator/>
      </w:r>
    </w:p>
  </w:endnote>
  <w:endnote w:type="continuationSeparator" w:id="1">
    <w:p w:rsidR="00CF07C4" w:rsidRDefault="00CF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E60">
      <w:rPr>
        <w:rStyle w:val="a6"/>
        <w:noProof/>
      </w:rPr>
      <w:t>29</w:t>
    </w:r>
    <w:r>
      <w:rPr>
        <w:rStyle w:val="a6"/>
      </w:rPr>
      <w:fldChar w:fldCharType="end"/>
    </w:r>
  </w:p>
  <w:p w:rsidR="00487087" w:rsidRDefault="00487087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487087" w:rsidRDefault="00487087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E60">
      <w:rPr>
        <w:rStyle w:val="a6"/>
        <w:noProof/>
      </w:rPr>
      <w:t>33</w:t>
    </w:r>
    <w:r>
      <w:rPr>
        <w:rStyle w:val="a6"/>
      </w:rPr>
      <w:fldChar w:fldCharType="end"/>
    </w:r>
  </w:p>
  <w:p w:rsidR="00487087" w:rsidRDefault="00487087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487087" w:rsidRDefault="00487087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C4" w:rsidRDefault="00CF07C4">
      <w:r>
        <w:separator/>
      </w:r>
    </w:p>
  </w:footnote>
  <w:footnote w:type="continuationSeparator" w:id="1">
    <w:p w:rsidR="00CF07C4" w:rsidRDefault="00CF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487087" w:rsidP="00BE0642">
    <w:pPr>
      <w:pStyle w:val="a5"/>
      <w:framePr w:wrap="around" w:vAnchor="text" w:hAnchor="margin" w:xAlign="center" w:y="1"/>
      <w:rPr>
        <w:rStyle w:val="a6"/>
      </w:rPr>
    </w:pPr>
  </w:p>
  <w:p w:rsidR="00487087" w:rsidRDefault="004870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E442D8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487087" w:rsidP="00BE0642">
    <w:pPr>
      <w:pStyle w:val="a5"/>
      <w:framePr w:wrap="around" w:vAnchor="text" w:hAnchor="margin" w:xAlign="center" w:y="1"/>
      <w:rPr>
        <w:rStyle w:val="a6"/>
      </w:rPr>
    </w:pPr>
  </w:p>
  <w:p w:rsidR="00487087" w:rsidRDefault="004870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27109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5AA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B1F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B6832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E52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A74D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87087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03C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66062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A4E60"/>
    <w:rsid w:val="006B22D0"/>
    <w:rsid w:val="006B25EF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35B87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3817"/>
    <w:rsid w:val="007E50AE"/>
    <w:rsid w:val="007E5142"/>
    <w:rsid w:val="007E71B1"/>
    <w:rsid w:val="007E7D21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14A77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74173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12AD"/>
    <w:rsid w:val="00A32AD1"/>
    <w:rsid w:val="00A34122"/>
    <w:rsid w:val="00A34631"/>
    <w:rsid w:val="00A35FA5"/>
    <w:rsid w:val="00A4139D"/>
    <w:rsid w:val="00A42875"/>
    <w:rsid w:val="00A43179"/>
    <w:rsid w:val="00A43952"/>
    <w:rsid w:val="00A43DD3"/>
    <w:rsid w:val="00A44C32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826"/>
    <w:rsid w:val="00BA0AF0"/>
    <w:rsid w:val="00BA1FBE"/>
    <w:rsid w:val="00BA3C10"/>
    <w:rsid w:val="00BA4911"/>
    <w:rsid w:val="00BA4A9C"/>
    <w:rsid w:val="00BA5702"/>
    <w:rsid w:val="00BA7F6B"/>
    <w:rsid w:val="00BB1B0F"/>
    <w:rsid w:val="00BB698E"/>
    <w:rsid w:val="00BC0A69"/>
    <w:rsid w:val="00BC1A60"/>
    <w:rsid w:val="00BC4EAC"/>
    <w:rsid w:val="00BC5864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1D90"/>
    <w:rsid w:val="00CD32A2"/>
    <w:rsid w:val="00CD589C"/>
    <w:rsid w:val="00CE3D4E"/>
    <w:rsid w:val="00CE636C"/>
    <w:rsid w:val="00CE6416"/>
    <w:rsid w:val="00CE6FF2"/>
    <w:rsid w:val="00CF07C4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6943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2B26"/>
    <w:rsid w:val="00DF4D2E"/>
    <w:rsid w:val="00DF5578"/>
    <w:rsid w:val="00DF7051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3AA"/>
    <w:rsid w:val="00E24D67"/>
    <w:rsid w:val="00E24E2B"/>
    <w:rsid w:val="00E25906"/>
    <w:rsid w:val="00E25FA2"/>
    <w:rsid w:val="00E30458"/>
    <w:rsid w:val="00E30F19"/>
    <w:rsid w:val="00E33D29"/>
    <w:rsid w:val="00E34169"/>
    <w:rsid w:val="00E34727"/>
    <w:rsid w:val="00E35EBF"/>
    <w:rsid w:val="00E367AE"/>
    <w:rsid w:val="00E41664"/>
    <w:rsid w:val="00E41F96"/>
    <w:rsid w:val="00E442D8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4E6D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1463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1177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35E9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969-E71A-418D-8D4E-4DB6504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33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47</cp:revision>
  <cp:lastPrinted>2021-12-27T05:40:00Z</cp:lastPrinted>
  <dcterms:created xsi:type="dcterms:W3CDTF">2024-08-14T10:52:00Z</dcterms:created>
  <dcterms:modified xsi:type="dcterms:W3CDTF">2025-05-21T10:36:00Z</dcterms:modified>
</cp:coreProperties>
</file>